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Default="0031158F" w:rsidP="0031158F">
      <w:pPr>
        <w:spacing w:after="0"/>
        <w:ind w:left="3969" w:right="-143"/>
        <w:rPr>
          <w:rFonts w:ascii="Times New Roman" w:hAnsi="Times New Roman"/>
          <w:b/>
          <w:sz w:val="28"/>
          <w:szCs w:val="28"/>
        </w:rPr>
      </w:pPr>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403AD6">
      <w:pPr>
        <w:shd w:val="clear" w:color="auto" w:fill="FFFFFF"/>
        <w:spacing w:after="0" w:line="360" w:lineRule="auto"/>
        <w:ind w:firstLine="709"/>
        <w:jc w:val="both"/>
        <w:rPr>
          <w:rFonts w:ascii="Times New Roman" w:hAnsi="Times New Roman" w:cs="Times New Roman"/>
          <w:b/>
          <w:bCs/>
          <w:sz w:val="28"/>
          <w:szCs w:val="28"/>
        </w:rPr>
      </w:pPr>
      <w:r w:rsidRPr="00403AD6">
        <w:rPr>
          <w:noProof/>
          <w:lang w:eastAsia="ru-RU"/>
        </w:rPr>
        <w:pict>
          <v:line id="_x0000_s1026" style="position:absolute;left:0;text-align:left;z-index:251654656;mso-position-horizontal-relative:margin" from="719.05pt,248.15pt" to="719.05pt,328.3pt" strokeweight=".18mm">
            <v:stroke joinstyle="miter" endcap="square"/>
            <w10:wrap anchorx="margin"/>
          </v:line>
        </w:pict>
      </w:r>
      <w:r w:rsidRPr="00403AD6">
        <w:rPr>
          <w:noProof/>
          <w:lang w:eastAsia="ru-RU"/>
        </w:rPr>
        <w:pict>
          <v:line id="_x0000_s1027" style="position:absolute;left:0;text-align:left;z-index:251655680;mso-position-horizontal-relative:margin" from="722.9pt,519.85pt" to="722.9pt,542.4pt"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403AD6">
      <w:pPr>
        <w:spacing w:after="0" w:line="360" w:lineRule="auto"/>
        <w:ind w:firstLine="709"/>
        <w:jc w:val="center"/>
        <w:rPr>
          <w:rFonts w:ascii="Times New Roman" w:hAnsi="Times New Roman" w:cs="Times New Roman"/>
          <w:color w:val="auto"/>
          <w:sz w:val="28"/>
          <w:szCs w:val="28"/>
        </w:rPr>
      </w:pPr>
      <w:r w:rsidRPr="00403AD6">
        <w:rPr>
          <w:noProof/>
          <w:lang w:eastAsia="ru-RU"/>
        </w:rPr>
        <w:pict>
          <v:group id="Группа 18" o:spid="_x0000_s1028" style="position:absolute;left:0;text-align:left;margin-left:1.6pt;margin-top:-11.55pt;width:.1pt;height:342.7pt;z-index:251656704;mso-wrap-distance-left:0;mso-wrap-distance-right:0;mso-position-horizontal-relative:page" coordorigin="32,-231" coordsize="2,6854">
            <o:lock v:ext="edit" text="t"/>
            <v:shape id="Freeform 3" o:spid="_x0000_s1029" style="position:absolute;left:32;top:-231;width:1;height:6853;mso-wrap-style:none;v-text-anchor:middle" coordsize="2,6854" path="m,6854l,e" filled="f" strokecolor="#93746b" strokeweight=".64mm">
              <v:stroke color2="#6c8b94" endcap="square"/>
              <v:path o:connecttype="custom" o:connectlocs="0,6623;0,-231"/>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403AD6">
      <w:pPr>
        <w:pStyle w:val="af5"/>
        <w:spacing w:after="0" w:line="360" w:lineRule="auto"/>
        <w:ind w:firstLine="709"/>
        <w:jc w:val="both"/>
        <w:rPr>
          <w:rFonts w:ascii="Times New Roman" w:hAnsi="Times New Roman"/>
          <w:sz w:val="28"/>
          <w:szCs w:val="28"/>
        </w:rPr>
      </w:pPr>
      <w:r w:rsidRPr="00403AD6">
        <w:rPr>
          <w:noProof/>
          <w:lang w:eastAsia="ru-RU"/>
        </w:rPr>
        <w:pict>
          <v:group id="Группа 16" o:spid="_x0000_s1030" style="position:absolute;left:0;text-align:left;margin-left:.35pt;margin-top:4.8pt;width:.1pt;height:403.2pt;z-index:251658752;mso-wrap-distance-left:0;mso-wrap-distance-right:0;mso-position-horizontal-relative:page" coordorigin="7,96" coordsize="2,8064">
            <o:lock v:ext="edit" text="t"/>
            <v:shape id="Freeform 14" o:spid="_x0000_s1031" style="position:absolute;left:7;top:96;width:1;height:8063;mso-wrap-style:none;v-text-anchor:middle" coordsize="2,8064" path="m,8064l,e" filled="f" strokecolor="#a88383" strokeweight=".39mm">
              <v:stroke color2="#577c7c" endcap="square"/>
              <v:path o:connecttype="custom" o:connectlocs="0,8160;0,96"/>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403AD6" w:rsidRPr="00403AD6">
        <w:rPr>
          <w:noProof/>
          <w:lang w:eastAsia="ru-RU"/>
        </w:rPr>
        <w:pict>
          <v:group id="Группа 14" o:spid="_x0000_s1032" style="position:absolute;left:0;text-align:left;margin-left:1.1pt;margin-top:-3.4pt;width:.1pt;height:358.85pt;z-index:251660800;mso-wrap-distance-left:0;mso-wrap-distance-right:0;mso-position-horizontal-relative:page;mso-position-vertical-relative:text" coordorigin="22,-68" coordsize="2,7177">
            <o:lock v:ext="edit" text="t"/>
            <v:shape id="Freeform 20" o:spid="_x0000_s1033"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403AD6">
      <w:pPr>
        <w:pStyle w:val="af5"/>
        <w:spacing w:after="0" w:line="360" w:lineRule="auto"/>
        <w:ind w:firstLine="709"/>
        <w:jc w:val="both"/>
        <w:rPr>
          <w:rFonts w:ascii="Times New Roman" w:hAnsi="Times New Roman"/>
          <w:i/>
          <w:color w:val="auto"/>
          <w:sz w:val="28"/>
          <w:szCs w:val="28"/>
        </w:rPr>
      </w:pPr>
      <w:r w:rsidRPr="00403AD6">
        <w:rPr>
          <w:noProof/>
          <w:lang w:eastAsia="ru-RU"/>
        </w:rPr>
        <w:pict>
          <v:group id="Группа 7" o:spid="_x0000_s1034" style="position:absolute;left:0;text-align:left;margin-left:1.1pt;margin-top:11.1pt;width:1.55pt;height:162.25pt;z-index:251657728;mso-wrap-distance-left:0;mso-wrap-distance-right:0;mso-position-horizontal-relative:page" coordorigin="22,222" coordsize="30,3246">
            <o:lock v:ext="edit" text="t"/>
            <v:group id="Group 9" o:spid="_x0000_s1035" style="position:absolute;left:22;top:222;width:3;height:3244;mso-wrap-distance-left:0;mso-wrap-distance-right:0" coordorigin="22,222" coordsize="3,3244">
              <o:lock v:ext="edit" text="t"/>
              <v:shape id="Freeform 10" o:spid="_x0000_s1036"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37" style="position:absolute;left:50;top:2701;width:3;height:766;mso-wrap-distance-left:0;mso-wrap-distance-right:0" coordorigin="50,2701" coordsize="3,766">
              <o:lock v:ext="edit" text="t"/>
              <v:shape id="Freeform 12" o:spid="_x0000_s1038"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403AD6">
      <w:pPr>
        <w:pStyle w:val="af5"/>
        <w:spacing w:after="0" w:line="360" w:lineRule="auto"/>
        <w:ind w:firstLine="709"/>
        <w:jc w:val="both"/>
        <w:rPr>
          <w:rFonts w:ascii="Times New Roman" w:hAnsi="Times New Roman"/>
          <w:b/>
          <w:i/>
          <w:color w:val="auto"/>
          <w:sz w:val="28"/>
          <w:szCs w:val="28"/>
        </w:rPr>
      </w:pPr>
      <w:r w:rsidRPr="00403AD6">
        <w:rPr>
          <w:noProof/>
          <w:lang w:eastAsia="ru-RU"/>
        </w:rPr>
        <w:pict>
          <v:group id="Группа 3" o:spid="_x0000_s1039" style="position:absolute;left:0;text-align:left;margin-left:2pt;margin-top:35.1pt;width:.1pt;height:47.55pt;z-index:251659776;mso-wrap-distance-left:0;mso-wrap-distance-right:0;mso-position-horizontal-relative:page" coordorigin="40,702" coordsize="2,951">
            <o:lock v:ext="edit" text="t"/>
            <v:shape id="Freeform 18" o:spid="_x0000_s1040"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требованиями </w:t>
      </w:r>
      <w:r>
        <w:rPr>
          <w:sz w:val="28"/>
          <w:szCs w:val="28"/>
        </w:rPr>
        <w:lastRenderedPageBreak/>
        <w:t>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 xml:space="preserve">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w:t>
      </w:r>
      <w:r>
        <w:rPr>
          <w:rFonts w:ascii="Times New Roman" w:hAnsi="Times New Roman" w:cs="Times New Roman"/>
          <w:color w:val="000000"/>
          <w:sz w:val="28"/>
          <w:szCs w:val="28"/>
        </w:rPr>
        <w:lastRenderedPageBreak/>
        <w:t>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lastRenderedPageBreak/>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аморальным поступкам, грубости, оскорбительным словам и действиям, в том числе в содержании </w:t>
      </w:r>
      <w:r>
        <w:rPr>
          <w:rFonts w:ascii="Times New Roman" w:hAnsi="Times New Roman" w:cs="Times New Roman"/>
          <w:color w:val="auto"/>
          <w:sz w:val="28"/>
          <w:szCs w:val="28"/>
        </w:rPr>
        <w:lastRenderedPageBreak/>
        <w:t>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w:t>
      </w:r>
      <w:r>
        <w:rPr>
          <w:rFonts w:ascii="Times New Roman" w:hAnsi="Times New Roman" w:cs="Times New Roman"/>
          <w:color w:val="auto"/>
          <w:sz w:val="28"/>
          <w:szCs w:val="28"/>
        </w:rPr>
        <w:lastRenderedPageBreak/>
        <w:t xml:space="preserve">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w:t>
      </w:r>
      <w:r>
        <w:rPr>
          <w:rFonts w:ascii="Times New Roman" w:hAnsi="Times New Roman" w:cs="Times New Roman"/>
          <w:color w:val="auto"/>
          <w:sz w:val="28"/>
          <w:szCs w:val="28"/>
        </w:rPr>
        <w:lastRenderedPageBreak/>
        <w:t>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w:t>
      </w:r>
      <w:r>
        <w:rPr>
          <w:rFonts w:ascii="Times New Roman" w:hAnsi="Times New Roman" w:cs="Times New Roman"/>
          <w:color w:val="auto"/>
          <w:sz w:val="28"/>
          <w:szCs w:val="28"/>
        </w:rPr>
        <w:lastRenderedPageBreak/>
        <w:t>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lastRenderedPageBreak/>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w:t>
      </w:r>
      <w:r>
        <w:rPr>
          <w:rFonts w:ascii="Times New Roman" w:hAnsi="Times New Roman" w:cs="Times New Roman"/>
          <w:color w:val="auto"/>
          <w:sz w:val="28"/>
          <w:szCs w:val="28"/>
        </w:rPr>
        <w:lastRenderedPageBreak/>
        <w:t xml:space="preserve">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обучающихся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862"/>
      </w:tblGrid>
      <w:tr w:rsidR="005B5BE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8C300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8C3006">
        <w:trPr>
          <w:trHeight w:hRule="exact" w:val="907"/>
        </w:trPr>
        <w:tc>
          <w:tcPr>
            <w:tcW w:w="9193" w:type="dxa"/>
            <w:gridSpan w:val="12"/>
            <w:tcBorders>
              <w:top w:val="single" w:sz="4" w:space="0" w:color="auto"/>
              <w:bottom w:val="single" w:sz="4" w:space="0" w:color="auto"/>
            </w:tcBorders>
          </w:tcPr>
          <w:p w:rsidR="008C3006" w:rsidRPr="008C3006" w:rsidRDefault="008C3006" w:rsidP="008C3006">
            <w:pPr>
              <w:pStyle w:val="afe"/>
            </w:pPr>
          </w:p>
        </w:tc>
      </w:tr>
      <w:tr w:rsidR="005B5BE4" w:rsidTr="008C3006">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8C300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            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Pr="0090169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709"/>
        <w:gridCol w:w="567"/>
        <w:gridCol w:w="142"/>
        <w:gridCol w:w="850"/>
        <w:gridCol w:w="10"/>
      </w:tblGrid>
      <w:tr w:rsidR="005B5BE4">
        <w:tc>
          <w:tcPr>
            <w:tcW w:w="9200"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1951"/>
        <w:gridCol w:w="152"/>
        <w:gridCol w:w="2977"/>
        <w:gridCol w:w="708"/>
        <w:gridCol w:w="709"/>
        <w:gridCol w:w="709"/>
        <w:gridCol w:w="709"/>
        <w:gridCol w:w="567"/>
        <w:gridCol w:w="850"/>
        <w:gridCol w:w="10"/>
      </w:tblGrid>
      <w:tr w:rsidR="005B5BE4">
        <w:tc>
          <w:tcPr>
            <w:tcW w:w="9342" w:type="dxa"/>
            <w:gridSpan w:val="10"/>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Pr>
                <w:rFonts w:ascii="Times New Roman" w:hAnsi="Times New Roman" w:cs="Times New Roman"/>
                <w:color w:val="auto"/>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36"/>
        <w:gridCol w:w="1961"/>
        <w:gridCol w:w="4111"/>
        <w:gridCol w:w="850"/>
        <w:gridCol w:w="142"/>
        <w:gridCol w:w="709"/>
        <w:gridCol w:w="850"/>
        <w:gridCol w:w="861"/>
      </w:tblGrid>
      <w:tr w:rsidR="005B5BE4">
        <w:tc>
          <w:tcPr>
            <w:tcW w:w="24" w:type="dxa"/>
          </w:tcPr>
          <w:p w:rsidR="005B5BE4" w:rsidRDefault="005B5BE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4"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4"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c>
          <w:tcPr>
            <w:tcW w:w="6096"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trPr>
          <w:trHeight w:val="983"/>
        </w:trPr>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trPr>
          <w:trHeight w:val="584"/>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w:t>
            </w:r>
            <w:r>
              <w:rPr>
                <w:rFonts w:ascii="Times New Roman" w:hAnsi="Times New Roman" w:cs="Times New Roman"/>
                <w:b/>
                <w:i/>
                <w:iCs/>
                <w:color w:val="auto"/>
                <w:sz w:val="28"/>
                <w:szCs w:val="28"/>
              </w:rPr>
              <w:softHyphen/>
              <w:t>с</w:t>
            </w:r>
            <w:r>
              <w:rPr>
                <w:rFonts w:ascii="Times New Roman" w:hAnsi="Times New Roman" w:cs="Times New Roman"/>
                <w:b/>
                <w:i/>
                <w:iCs/>
                <w:color w:val="auto"/>
                <w:sz w:val="28"/>
                <w:szCs w:val="28"/>
              </w:rPr>
              <w:softHyphen/>
              <w:t>т</w:t>
            </w:r>
            <w:r>
              <w:rPr>
                <w:rFonts w:ascii="Times New Roman" w:hAnsi="Times New Roman" w:cs="Times New Roman"/>
                <w:b/>
                <w:i/>
                <w:iCs/>
                <w:color w:val="auto"/>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trPr>
          <w:trHeight w:val="557"/>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trPr>
          <w:trHeight w:val="406"/>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lastRenderedPageBreak/>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r>
      <w:r>
        <w:rPr>
          <w:rFonts w:ascii="Times New Roman" w:hAnsi="Times New Roman" w:cs="Times New Roman"/>
          <w:sz w:val="28"/>
          <w:szCs w:val="28"/>
        </w:rPr>
        <w:lastRenderedPageBreak/>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w:t>
      </w:r>
      <w:r>
        <w:rPr>
          <w:sz w:val="28"/>
          <w:szCs w:val="28"/>
        </w:rPr>
        <w:lastRenderedPageBreak/>
        <w:t>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ний состоит в том, что все вовлечённые в </w:t>
      </w:r>
      <w:r>
        <w:rPr>
          <w:rFonts w:ascii="Times New Roman" w:hAnsi="Times New Roman" w:cs="Times New Roman"/>
          <w:color w:val="auto"/>
          <w:sz w:val="28"/>
          <w:szCs w:val="28"/>
        </w:rPr>
        <w:lastRenderedPageBreak/>
        <w:t>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lastRenderedPageBreak/>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w:t>
      </w:r>
      <w:r w:rsidR="00BC1A8E" w:rsidRPr="00796C10">
        <w:rPr>
          <w:rFonts w:ascii="Times New Roman" w:hAnsi="Times New Roman"/>
          <w:sz w:val="28"/>
          <w:szCs w:val="28"/>
        </w:rPr>
        <w:lastRenderedPageBreak/>
        <w:t>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w:t>
      </w:r>
      <w:r>
        <w:rPr>
          <w:rFonts w:ascii="Times New Roman" w:hAnsi="Times New Roman"/>
          <w:sz w:val="28"/>
          <w:szCs w:val="28"/>
        </w:rPr>
        <w:lastRenderedPageBreak/>
        <w:t xml:space="preserve">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w:t>
      </w:r>
      <w:r w:rsidRPr="00317985">
        <w:rPr>
          <w:rFonts w:ascii="Times New Roman" w:hAnsi="Times New Roman"/>
          <w:sz w:val="28"/>
          <w:szCs w:val="28"/>
          <w:lang w:eastAsia="ru-RU"/>
        </w:rPr>
        <w:lastRenderedPageBreak/>
        <w:t xml:space="preserve">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близковозрастных классах </w:t>
      </w:r>
      <w:r w:rsidRPr="009C6E30">
        <w:rPr>
          <w:rFonts w:ascii="Times New Roman" w:hAnsi="Times New Roman"/>
          <w:sz w:val="28"/>
          <w:szCs w:val="28"/>
        </w:rPr>
        <w:lastRenderedPageBreak/>
        <w:t>(группах)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 xml:space="preserve">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w:t>
      </w:r>
      <w:r w:rsidRPr="006450B9">
        <w:rPr>
          <w:szCs w:val="28"/>
        </w:rPr>
        <w:lastRenderedPageBreak/>
        <w:t xml:space="preserve">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w:t>
      </w:r>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 xml:space="preserve">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 xml:space="preserve">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w:t>
      </w:r>
      <w:r w:rsidRPr="0076472D">
        <w:rPr>
          <w:rFonts w:ascii="Times New Roman" w:hAnsi="Times New Roman"/>
          <w:sz w:val="28"/>
          <w:szCs w:val="28"/>
        </w:rPr>
        <w:lastRenderedPageBreak/>
        <w:t xml:space="preserve">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lastRenderedPageBreak/>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lastRenderedPageBreak/>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w:t>
      </w:r>
      <w:r w:rsidR="00963D9B" w:rsidRPr="00893A15">
        <w:rPr>
          <w:rFonts w:ascii="Times New Roman" w:hAnsi="Times New Roman"/>
          <w:sz w:val="28"/>
          <w:szCs w:val="28"/>
        </w:rPr>
        <w:lastRenderedPageBreak/>
        <w:t>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 xml:space="preserve">Продолжительность коррекционного </w:t>
      </w:r>
      <w:r w:rsidRPr="005811CE">
        <w:rPr>
          <w:rFonts w:ascii="Times New Roman" w:hAnsi="Times New Roman"/>
          <w:sz w:val="28"/>
          <w:szCs w:val="28"/>
        </w:rPr>
        <w:lastRenderedPageBreak/>
        <w:t>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w:t>
      </w:r>
      <w:r>
        <w:rPr>
          <w:rFonts w:ascii="Times New Roman" w:hAnsi="Times New Roman"/>
          <w:sz w:val="28"/>
          <w:szCs w:val="28"/>
        </w:rPr>
        <w:lastRenderedPageBreak/>
        <w:t xml:space="preserve">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w:t>
      </w:r>
      <w:r w:rsidRPr="00317985">
        <w:rPr>
          <w:rFonts w:ascii="Times New Roman" w:hAnsi="Times New Roman"/>
          <w:sz w:val="28"/>
          <w:szCs w:val="28"/>
        </w:rPr>
        <w:lastRenderedPageBreak/>
        <w:t>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lastRenderedPageBreak/>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lastRenderedPageBreak/>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w:t>
      </w:r>
      <w:r w:rsidRPr="00317985">
        <w:rPr>
          <w:rFonts w:ascii="Times New Roman" w:hAnsi="Times New Roman"/>
          <w:bCs/>
          <w:sz w:val="28"/>
          <w:szCs w:val="28"/>
        </w:rPr>
        <w:lastRenderedPageBreak/>
        <w:t>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w:t>
      </w:r>
      <w:r w:rsidRPr="00317985">
        <w:rPr>
          <w:rFonts w:ascii="Times New Roman" w:hAnsi="Times New Roman"/>
          <w:sz w:val="28"/>
          <w:szCs w:val="28"/>
        </w:rPr>
        <w:lastRenderedPageBreak/>
        <w:t xml:space="preserve">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 xml:space="preserve">обучающихся с умеренной, тяжелой и глубокой умственной отсталостью (интеллектуальными нарушениями), тяжелыми и </w:t>
      </w:r>
      <w:r w:rsidRPr="002A5BC7">
        <w:rPr>
          <w:rFonts w:ascii="Times New Roman" w:hAnsi="Times New Roman"/>
          <w:b/>
          <w:sz w:val="28"/>
          <w:szCs w:val="28"/>
        </w:rPr>
        <w:lastRenderedPageBreak/>
        <w:t>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w:t>
      </w:r>
      <w:r w:rsidRPr="00317985">
        <w:rPr>
          <w:rFonts w:ascii="Times New Roman" w:hAnsi="Times New Roman"/>
          <w:sz w:val="28"/>
          <w:szCs w:val="28"/>
        </w:rPr>
        <w:lastRenderedPageBreak/>
        <w:t>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317985">
        <w:rPr>
          <w:rFonts w:ascii="Times New Roman" w:hAnsi="Times New Roman"/>
          <w:sz w:val="28"/>
          <w:szCs w:val="28"/>
        </w:rPr>
        <w:lastRenderedPageBreak/>
        <w:t>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 xml:space="preserve">техническому обеспечению должны быть ориентированы не только на обучающихся, но и на всех участников процесса </w:t>
      </w:r>
      <w:r w:rsidRPr="00317985">
        <w:rPr>
          <w:rFonts w:ascii="Times New Roman" w:hAnsi="Times New Roman"/>
          <w:sz w:val="28"/>
          <w:szCs w:val="28"/>
        </w:rPr>
        <w:lastRenderedPageBreak/>
        <w:t>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4D3" w:rsidRDefault="00C614D3">
      <w:pPr>
        <w:spacing w:after="0" w:line="240" w:lineRule="auto"/>
      </w:pPr>
      <w:r>
        <w:separator/>
      </w:r>
    </w:p>
  </w:endnote>
  <w:endnote w:type="continuationSeparator" w:id="0">
    <w:p w:rsidR="00C614D3" w:rsidRDefault="00C61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9B" w:rsidRDefault="00403AD6">
    <w:pPr>
      <w:pStyle w:val="affb"/>
      <w:jc w:val="center"/>
    </w:pPr>
    <w:r>
      <w:rPr>
        <w:sz w:val="24"/>
        <w:szCs w:val="24"/>
      </w:rPr>
      <w:fldChar w:fldCharType="begin"/>
    </w:r>
    <w:r w:rsidR="00963D9B">
      <w:rPr>
        <w:sz w:val="24"/>
        <w:szCs w:val="24"/>
      </w:rPr>
      <w:instrText xml:space="preserve"> PAGE </w:instrText>
    </w:r>
    <w:r>
      <w:rPr>
        <w:sz w:val="24"/>
        <w:szCs w:val="24"/>
      </w:rPr>
      <w:fldChar w:fldCharType="separate"/>
    </w:r>
    <w:r w:rsidR="0031158F">
      <w:rPr>
        <w:noProof/>
        <w:sz w:val="24"/>
        <w:szCs w:val="24"/>
      </w:rPr>
      <w:t>110</w:t>
    </w:r>
    <w:r>
      <w:rPr>
        <w:sz w:val="24"/>
        <w:szCs w:val="24"/>
      </w:rPr>
      <w:fldChar w:fldCharType="end"/>
    </w:r>
  </w:p>
  <w:p w:rsidR="00963D9B" w:rsidRDefault="00963D9B">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4D3" w:rsidRDefault="00C614D3">
      <w:pPr>
        <w:spacing w:after="0" w:line="240" w:lineRule="auto"/>
      </w:pPr>
      <w:r>
        <w:separator/>
      </w:r>
    </w:p>
  </w:footnote>
  <w:footnote w:type="continuationSeparator" w:id="0">
    <w:p w:rsidR="00C614D3" w:rsidRDefault="00C614D3">
      <w:pPr>
        <w:spacing w:after="0" w:line="240" w:lineRule="auto"/>
      </w:pPr>
      <w:r>
        <w:continuationSeparator/>
      </w:r>
    </w:p>
  </w:footnote>
  <w:footnote w:id="1">
    <w:p w:rsidR="00403AD6" w:rsidRDefault="00963D9B">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403AD6" w:rsidRDefault="00963D9B">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403AD6" w:rsidRDefault="00963D9B">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03AD6" w:rsidRDefault="00963D9B">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6">
    <w:p w:rsidR="00963D9B" w:rsidRDefault="00963D9B">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03AD6" w:rsidRDefault="00403AD6">
      <w:pPr>
        <w:pStyle w:val="afe"/>
        <w:jc w:val="both"/>
      </w:pPr>
    </w:p>
  </w:footnote>
  <w:footnote w:id="7">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8">
    <w:p w:rsidR="00403AD6" w:rsidRDefault="00963D9B">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403AD6" w:rsidRDefault="00963D9B">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403AD6" w:rsidRDefault="00963D9B"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03AD6" w:rsidRDefault="00963D9B"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963D9B" w:rsidRDefault="00963D9B"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03AD6" w:rsidRDefault="00403AD6" w:rsidP="00BC1A8E">
      <w:pPr>
        <w:pStyle w:val="afc"/>
      </w:pPr>
    </w:p>
  </w:footnote>
  <w:footnote w:id="13">
    <w:p w:rsidR="00963D9B" w:rsidRDefault="00963D9B"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03AD6" w:rsidRDefault="00403AD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14B30"/>
    <w:rsid w:val="0011797E"/>
    <w:rsid w:val="001A7CFB"/>
    <w:rsid w:val="001B2946"/>
    <w:rsid w:val="001B6DD6"/>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b/>
      <w:bC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ACC8-0F9C-4F10-AD33-EF36C1DC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478</Pages>
  <Words>116524</Words>
  <Characters>664190</Characters>
  <Application>Microsoft Office Word</Application>
  <DocSecurity>0</DocSecurity>
  <Lines>5534</Lines>
  <Paragraphs>1558</Paragraphs>
  <ScaleCrop>false</ScaleCrop>
  <Company>Microsoft</Company>
  <LinksUpToDate>false</LinksUpToDate>
  <CharactersWithSpaces>779156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418</cp:lastModifiedBy>
  <cp:revision>3</cp:revision>
  <cp:lastPrinted>2015-10-19T09:35:00Z</cp:lastPrinted>
  <dcterms:created xsi:type="dcterms:W3CDTF">2015-12-29T08:45:00Z</dcterms:created>
  <dcterms:modified xsi:type="dcterms:W3CDTF">2015-12-29T08:58:00Z</dcterms:modified>
</cp:coreProperties>
</file>